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AA1DEB" w:rsidP="00AA1DEB">
      <w:pPr>
        <w:spacing w:after="0" w:line="480" w:lineRule="auto"/>
        <w:contextualSpacing/>
        <w:rPr>
          <w:rFonts w:ascii="Times New Roman" w:hAnsi="Times New Roman" w:cs="Times New Roman"/>
          <w:sz w:val="24"/>
          <w:szCs w:val="24"/>
          <w:shd w:val="clear" w:color="auto" w:fill="FFFFFF"/>
        </w:rPr>
      </w:pPr>
    </w:p>
    <w:p w:rsidR="00E170E8" w:rsidRPr="00AA1DEB" w:rsidP="00AA1DEB">
      <w:pPr>
        <w:spacing w:after="0" w:line="480" w:lineRule="auto"/>
        <w:contextualSpacing/>
        <w:rPr>
          <w:rFonts w:ascii="Times New Roman" w:hAnsi="Times New Roman" w:cs="Times New Roman"/>
          <w:sz w:val="24"/>
          <w:szCs w:val="24"/>
          <w:shd w:val="clear" w:color="auto" w:fill="FFFFFF"/>
        </w:rPr>
      </w:pPr>
    </w:p>
    <w:p w:rsidR="004A3920" w:rsidRPr="00AA1DEB" w:rsidP="00AA1DEB">
      <w:pPr>
        <w:spacing w:after="0" w:line="480" w:lineRule="auto"/>
        <w:ind w:firstLine="720"/>
        <w:contextualSpacing/>
        <w:rPr>
          <w:rFonts w:ascii="Times New Roman" w:hAnsi="Times New Roman" w:cs="Times New Roman"/>
          <w:sz w:val="24"/>
          <w:szCs w:val="24"/>
          <w:shd w:val="clear" w:color="auto" w:fill="FFFFFF"/>
        </w:rPr>
      </w:pPr>
    </w:p>
    <w:p w:rsidR="00AA1DEB" w:rsidRPr="00AA1DEB" w:rsidP="00AA1DEB">
      <w:pPr>
        <w:spacing w:after="0" w:line="480" w:lineRule="auto"/>
        <w:ind w:firstLine="720"/>
        <w:contextualSpacing/>
        <w:jc w:val="center"/>
        <w:rPr>
          <w:rFonts w:ascii="Times New Roman" w:hAnsi="Times New Roman" w:cs="Times New Roman"/>
          <w:iCs/>
          <w:sz w:val="24"/>
          <w:szCs w:val="24"/>
          <w:shd w:val="clear" w:color="auto" w:fill="FFFFFF"/>
        </w:rPr>
      </w:pPr>
      <w:r w:rsidRPr="00AA1DEB">
        <w:rPr>
          <w:rFonts w:ascii="Times New Roman" w:hAnsi="Times New Roman" w:cs="Times New Roman"/>
          <w:iCs/>
          <w:sz w:val="24"/>
          <w:szCs w:val="24"/>
          <w:shd w:val="clear" w:color="auto" w:fill="FFFFFF"/>
        </w:rPr>
        <w:t>Characters </w:t>
      </w: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r w:rsidRPr="00AA1DEB">
        <w:rPr>
          <w:rFonts w:ascii="Times New Roman" w:hAnsi="Times New Roman" w:cs="Times New Roman"/>
          <w:sz w:val="24"/>
          <w:szCs w:val="24"/>
          <w:shd w:val="clear" w:color="auto" w:fill="FFFFFF"/>
        </w:rPr>
        <w:t xml:space="preserve">Name </w:t>
      </w:r>
    </w:p>
    <w:p w:rsidR="00E836D6"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r w:rsidRPr="00AA1DEB">
        <w:rPr>
          <w:rFonts w:ascii="Times New Roman" w:hAnsi="Times New Roman" w:cs="Times New Roman"/>
          <w:sz w:val="24"/>
          <w:szCs w:val="24"/>
          <w:shd w:val="clear" w:color="auto" w:fill="FFFFFF"/>
        </w:rPr>
        <w:t>Institution</w:t>
      </w:r>
    </w:p>
    <w:p w:rsidR="00E836D6"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r w:rsidRPr="00AA1DEB">
        <w:rPr>
          <w:rFonts w:ascii="Times New Roman" w:hAnsi="Times New Roman" w:cs="Times New Roman"/>
          <w:sz w:val="24"/>
          <w:szCs w:val="24"/>
          <w:shd w:val="clear" w:color="auto" w:fill="FFFFFF"/>
        </w:rPr>
        <w:t>Course</w:t>
      </w: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r w:rsidRPr="00AA1DEB">
        <w:rPr>
          <w:rFonts w:ascii="Times New Roman" w:hAnsi="Times New Roman" w:cs="Times New Roman"/>
          <w:sz w:val="24"/>
          <w:szCs w:val="24"/>
          <w:shd w:val="clear" w:color="auto" w:fill="FFFFFF"/>
        </w:rPr>
        <w:t>Date</w:t>
      </w: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p>
    <w:p w:rsidR="004A3920" w:rsidRPr="00AA1DEB" w:rsidP="00AA1DEB">
      <w:pPr>
        <w:spacing w:after="0" w:line="480" w:lineRule="auto"/>
        <w:ind w:firstLine="720"/>
        <w:contextualSpacing/>
        <w:jc w:val="center"/>
        <w:rPr>
          <w:rFonts w:ascii="Times New Roman" w:hAnsi="Times New Roman" w:cs="Times New Roman"/>
          <w:sz w:val="24"/>
          <w:szCs w:val="24"/>
          <w:shd w:val="clear" w:color="auto" w:fill="FFFFFF"/>
        </w:rPr>
      </w:pPr>
    </w:p>
    <w:p w:rsidR="004A3920" w:rsidRPr="00AA1DEB" w:rsidP="00AA1DEB">
      <w:pPr>
        <w:spacing w:line="480" w:lineRule="auto"/>
        <w:contextualSpacing/>
        <w:rPr>
          <w:rFonts w:ascii="Times New Roman" w:hAnsi="Times New Roman" w:cs="Times New Roman"/>
          <w:sz w:val="24"/>
          <w:szCs w:val="24"/>
          <w:shd w:val="clear" w:color="auto" w:fill="FFFFFF"/>
        </w:rPr>
      </w:pPr>
    </w:p>
    <w:p w:rsidR="004A3920" w:rsidRPr="00AA1DEB" w:rsidP="00AA1DEB">
      <w:pPr>
        <w:spacing w:line="480" w:lineRule="auto"/>
        <w:contextualSpacing/>
        <w:rPr>
          <w:rFonts w:ascii="Times New Roman" w:hAnsi="Times New Roman" w:cs="Times New Roman"/>
          <w:sz w:val="24"/>
          <w:szCs w:val="24"/>
          <w:shd w:val="clear" w:color="auto" w:fill="FFFFFF"/>
        </w:rPr>
      </w:pPr>
      <w:r w:rsidRPr="00AA1DEB">
        <w:rPr>
          <w:rFonts w:ascii="Times New Roman" w:hAnsi="Times New Roman" w:cs="Times New Roman"/>
          <w:sz w:val="24"/>
          <w:szCs w:val="24"/>
          <w:shd w:val="clear" w:color="auto" w:fill="FFFFFF"/>
        </w:rPr>
        <w:br w:type="page"/>
      </w:r>
    </w:p>
    <w:p w:rsidR="00334489" w:rsidP="00AA1DEB">
      <w:pPr>
        <w:pStyle w:val="NormalWeb"/>
        <w:shd w:val="clear" w:color="auto" w:fill="FFFFFF"/>
        <w:spacing w:before="0" w:beforeAutospacing="0" w:after="0" w:afterAutospacing="0" w:line="480" w:lineRule="auto"/>
        <w:ind w:firstLine="720"/>
        <w:contextualSpacing/>
        <w:textAlignment w:val="baseline"/>
        <w:rPr>
          <w:color w:val="000000"/>
        </w:rPr>
      </w:pPr>
      <w:r w:rsidRPr="00334489">
        <w:rPr>
          <w:color w:val="000000"/>
        </w:rPr>
        <w:t>At Sophocles' turn, " Antigone," and Shakespeare's turn, " this debacle of Julius Caesar," both Sophocles and Shakespeare individually present Antigone and Brutus, the fundamental characters in " Antigone and " the Tragedy of Julius Caesar," their battle with the results of their activities. At both plays, these unique characters get the chance to manage these impacts from the demonstration of choosing what they accept is the correct activity. Albeit both Antigone and Brutus may dissect through this way both their endeavors to do the extraordinary circumstance by breaking this power closes at the fiasco, a few clashes that are between them can be seen through every character ' excellent conditions and how they react to peer weight.
</w:t>
      </w:r>
    </w:p>
    <w:p w:rsidR="00AA1DEB" w:rsidRPr="00AA1DEB" w:rsidP="00AA1DEB">
      <w:pPr>
        <w:pStyle w:val="NormalWeb"/>
        <w:shd w:val="clear" w:color="auto" w:fill="FFFFFF"/>
        <w:spacing w:before="0" w:beforeAutospacing="0" w:after="0" w:afterAutospacing="0" w:line="480" w:lineRule="auto"/>
        <w:ind w:firstLine="720"/>
        <w:contextualSpacing/>
        <w:textAlignment w:val="baseline"/>
        <w:rPr>
          <w:color w:val="000000"/>
        </w:rPr>
      </w:pPr>
      <w:r w:rsidRPr="00AA1DEB">
        <w:rPr>
          <w:color w:val="000000"/>
        </w:rPr>
        <w:t>The principal characters in Sophocles ' play, Antigone, represent Antigone herself, this play's sad character and Antigone's uncle and the king of Thebes, Creon. Strong motives and opinions rule both characters; yet, they differ from one rol</w:t>
      </w:r>
      <w:r w:rsidRPr="00AA1DEB">
        <w:rPr>
          <w:color w:val="000000"/>
        </w:rPr>
        <w:t>e to the next. Antigone's need is a passion for her family- she puts it above all else. He is ready to sacrifice her time to protect love.</w:t>
      </w:r>
    </w:p>
    <w:p w:rsidR="00AA1DEB" w:rsidRPr="00AA1DEB" w:rsidP="00AA1DEB">
      <w:pPr>
        <w:pStyle w:val="NormalWeb"/>
        <w:shd w:val="clear" w:color="auto" w:fill="FFFFFF"/>
        <w:spacing w:before="0" w:beforeAutospacing="0" w:after="0" w:afterAutospacing="0" w:line="480" w:lineRule="auto"/>
        <w:ind w:firstLine="720"/>
        <w:contextualSpacing/>
        <w:textAlignment w:val="baseline"/>
        <w:rPr>
          <w:color w:val="000000"/>
        </w:rPr>
      </w:pPr>
      <w:r w:rsidRPr="00AA1DEB">
        <w:rPr>
          <w:color w:val="000000"/>
        </w:rPr>
        <w:t>That is precisely what occurs in Sophocles' play Antigone. Ismene, Haimon, and Creon all have a tough time choosing b</w:t>
      </w:r>
      <w:r w:rsidRPr="00AA1DEB">
        <w:rPr>
          <w:color w:val="000000"/>
        </w:rPr>
        <w:t>etween being what their morality is telling and what the world believes, which leads to the disagreement between these characters. Ismene experiences the conflict of morality vs. Community when deciding whether to help Antigone lay Polyneices or not.</w:t>
      </w:r>
    </w:p>
    <w:p w:rsidR="00AA1DEB" w:rsidRPr="00AA1DEB" w:rsidP="00AA1DEB">
      <w:pPr>
        <w:pStyle w:val="NormalWeb"/>
        <w:shd w:val="clear" w:color="auto" w:fill="FFFFFF"/>
        <w:spacing w:before="0" w:beforeAutospacing="0" w:after="0" w:afterAutospacing="0" w:line="480" w:lineRule="auto"/>
        <w:ind w:firstLine="720"/>
        <w:contextualSpacing/>
        <w:textAlignment w:val="baseline"/>
        <w:rPr>
          <w:color w:val="000000"/>
        </w:rPr>
      </w:pPr>
      <w:r w:rsidRPr="00AA1DEB">
        <w:rPr>
          <w:color w:val="000000"/>
        </w:rPr>
        <w:t xml:space="preserve">Both </w:t>
      </w:r>
      <w:r w:rsidRPr="00AA1DEB">
        <w:rPr>
          <w:color w:val="000000"/>
        </w:rPr>
        <w:t>these characters experience different consequences, but death appears to haunt them both. Antigone dies at the end of the play, and Creon, missing his house, turns into those travel dead with nothing to go for. The feeling of these two characters, disguise</w:t>
      </w:r>
      <w:r w:rsidRPr="00AA1DEB">
        <w:rPr>
          <w:color w:val="000000"/>
        </w:rPr>
        <w:t xml:space="preserve">d as righteousness and virtue, turns out destroying Thebes and the noble house. While both Antigone and Creon take very different living ways, in actuality they share some similarities that make their conflict. </w:t>
      </w:r>
      <w:r w:rsidRPr="00AA1DEB">
        <w:rPr>
          <w:color w:val="000000"/>
        </w:rPr>
        <w:t>Antigone is a young woman who promises to for</w:t>
      </w:r>
      <w:r w:rsidRPr="00AA1DEB">
        <w:rPr>
          <w:color w:val="000000"/>
        </w:rPr>
        <w:t>get her friend to ensure he gets to the hell, remaining faithful to her family and society during the chaotic period.</w:t>
      </w:r>
    </w:p>
    <w:p w:rsidR="00334489" w:rsidP="00334489">
      <w:pPr>
        <w:pStyle w:val="NormalWeb"/>
        <w:shd w:val="clear" w:color="auto" w:fill="FFFFFF"/>
        <w:spacing w:before="0" w:beforeAutospacing="0" w:after="0" w:afterAutospacing="0" w:line="480" w:lineRule="auto"/>
        <w:ind w:firstLine="720"/>
        <w:contextualSpacing/>
        <w:textAlignment w:val="baseline"/>
        <w:rPr>
          <w:color w:val="000000"/>
        </w:rPr>
      </w:pPr>
      <w:r w:rsidRPr="00AA1DEB">
        <w:rPr>
          <w:color w:val="000000"/>
        </w:rPr>
        <w:t xml:space="preserve"> As some generations take seen this famous Grecian move Antigone published by Sophocles, this struggle between Creon and Antigone, which u</w:t>
      </w:r>
      <w:r w:rsidRPr="00AA1DEB">
        <w:rPr>
          <w:color w:val="000000"/>
        </w:rPr>
        <w:t xml:space="preserve">ltimately not just induces this sad demise of those feminine hero characters </w:t>
      </w:r>
      <w:r w:rsidRPr="00334489">
        <w:rPr>
          <w:color w:val="000000"/>
        </w:rPr>
        <w:t>yet, in addition, leaves the despondency for the domineering King, can be considered in different examples from religion and governmental issues to order and influence, or unbending nature and adaptability, and not restricted to a sexual orientation battle. At the point when Antigone developed to contend to Creon's appoint, this idea is apparent that to anticipate
</w:t>
      </w:r>
    </w:p>
    <w:p w:rsidR="00334489">
      <w:pPr>
        <w:rPr>
          <w:rFonts w:ascii="Times New Roman" w:eastAsia="Times New Roman" w:hAnsi="Times New Roman" w:cs="Times New Roman"/>
          <w:color w:val="000000"/>
          <w:sz w:val="24"/>
          <w:szCs w:val="24"/>
        </w:rPr>
      </w:pPr>
      <w:r>
        <w:rPr>
          <w:color w:val="000000"/>
        </w:rPr>
        <w:br w:type="page"/>
      </w:r>
    </w:p>
    <w:p w:rsidR="00A86AC3" w:rsidRPr="00AA1DEB" w:rsidP="00334489">
      <w:pPr>
        <w:pStyle w:val="NormalWeb"/>
        <w:shd w:val="clear" w:color="auto" w:fill="FFFFFF"/>
        <w:spacing w:before="0" w:beforeAutospacing="0" w:after="0" w:afterAutospacing="0" w:line="480" w:lineRule="auto"/>
        <w:ind w:firstLine="720"/>
        <w:contextualSpacing/>
        <w:textAlignment w:val="baseline"/>
        <w:rPr>
          <w:color w:val="000000"/>
          <w:bdr w:val="none" w:sz="0" w:space="0" w:color="auto" w:frame="1"/>
          <w:shd w:val="clear" w:color="auto" w:fill="FFFFFF"/>
        </w:rPr>
      </w:pPr>
      <w:r w:rsidRPr="00AA1DEB">
        <w:rPr>
          <w:color w:val="000000"/>
          <w:bdr w:val="none" w:sz="0" w:space="0" w:color="auto" w:frame="1"/>
          <w:shd w:val="clear" w:color="auto" w:fill="FFFFFF"/>
        </w:rPr>
        <w:t>References</w:t>
      </w:r>
    </w:p>
    <w:p w:rsidR="00AA1DEB" w:rsidRPr="00AA1DEB" w:rsidP="00AA1DEB">
      <w:pPr>
        <w:pStyle w:val="NormalWeb"/>
        <w:shd w:val="clear" w:color="auto" w:fill="FFFFFF"/>
        <w:spacing w:before="0" w:beforeAutospacing="0" w:after="0" w:afterAutospacing="0" w:line="480" w:lineRule="auto"/>
        <w:ind w:left="720" w:hanging="720"/>
        <w:contextualSpacing/>
        <w:textAlignment w:val="baseline"/>
        <w:rPr>
          <w:color w:val="222222"/>
          <w:shd w:val="clear" w:color="auto" w:fill="FFFFFF"/>
        </w:rPr>
      </w:pPr>
      <w:r w:rsidRPr="00AA1DEB">
        <w:rPr>
          <w:color w:val="222222"/>
          <w:shd w:val="clear" w:color="auto" w:fill="FFFFFF"/>
        </w:rPr>
        <w:t>Alban, G. M. (2017). </w:t>
      </w:r>
      <w:r w:rsidRPr="00AA1DEB">
        <w:rPr>
          <w:i/>
          <w:iCs/>
          <w:color w:val="222222"/>
          <w:shd w:val="clear" w:color="auto" w:fill="FFFFFF"/>
        </w:rPr>
        <w:t>The Medusa Gaze in Contemporary Women's Fiction: Petrifying, Maternal, and Redemptive</w:t>
      </w:r>
      <w:r w:rsidRPr="00AA1DEB">
        <w:rPr>
          <w:color w:val="222222"/>
          <w:shd w:val="clear" w:color="auto" w:fill="FFFFFF"/>
        </w:rPr>
        <w:t xml:space="preserve">. Cambridge </w:t>
      </w:r>
      <w:r w:rsidRPr="00AA1DEB">
        <w:rPr>
          <w:color w:val="222222"/>
          <w:shd w:val="clear" w:color="auto" w:fill="FFFFFF"/>
        </w:rPr>
        <w:t>Scholars Publishing.</w:t>
      </w:r>
    </w:p>
    <w:p w:rsidR="00AA1DEB" w:rsidRPr="00AA1DEB" w:rsidP="00AA1DEB">
      <w:pPr>
        <w:pStyle w:val="NormalWeb"/>
        <w:shd w:val="clear" w:color="auto" w:fill="FFFFFF"/>
        <w:spacing w:before="0" w:beforeAutospacing="0" w:after="0" w:afterAutospacing="0" w:line="480" w:lineRule="auto"/>
        <w:ind w:left="720" w:hanging="720"/>
        <w:contextualSpacing/>
        <w:textAlignment w:val="baseline"/>
        <w:rPr>
          <w:color w:val="000000"/>
          <w:bdr w:val="none" w:sz="0" w:space="0" w:color="auto" w:frame="1"/>
          <w:shd w:val="clear" w:color="auto" w:fill="FFFFFF"/>
        </w:rPr>
      </w:pPr>
      <w:r w:rsidRPr="00AA1DEB">
        <w:rPr>
          <w:color w:val="222222"/>
          <w:shd w:val="clear" w:color="auto" w:fill="FFFFFF"/>
        </w:rPr>
        <w:t>Springs, J. A. (2018). </w:t>
      </w:r>
      <w:r w:rsidRPr="00AA1DEB">
        <w:rPr>
          <w:i/>
          <w:iCs/>
          <w:color w:val="222222"/>
          <w:shd w:val="clear" w:color="auto" w:fill="FFFFFF"/>
        </w:rPr>
        <w:t>Healthy Conflict in Contemporary American Society: From Enemy to Adversary</w:t>
      </w:r>
      <w:r w:rsidRPr="00AA1DEB">
        <w:rPr>
          <w:color w:val="222222"/>
          <w:shd w:val="clear" w:color="auto" w:fill="FFFFFF"/>
        </w:rPr>
        <w:t>. Cambridge University Press.</w:t>
      </w:r>
    </w:p>
    <w:sectPr w:rsidSect="00343D6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36D6">
    <w:pPr>
      <w:pStyle w:val="Header"/>
      <w:rPr>
        <w:rFonts w:ascii="Times New Roman" w:hAnsi="Times New Roman" w:cs="Times New Roman"/>
        <w:sz w:val="24"/>
        <w:szCs w:val="24"/>
      </w:rPr>
    </w:pPr>
    <w:r w:rsidRPr="00AA1DEB">
      <w:rPr>
        <w:rFonts w:ascii="Times New Roman" w:hAnsi="Times New Roman" w:cs="Times New Roman"/>
        <w:iCs/>
        <w:sz w:val="24"/>
        <w:szCs w:val="24"/>
        <w:shd w:val="clear" w:color="auto" w:fill="FFFFFF"/>
      </w:rPr>
      <w:t>CHARACTERS </w:t>
    </w:r>
    <w:r>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Content>
        <w:r w:rsidR="00DE3EBA">
          <w:rPr>
            <w:rFonts w:ascii="Times New Roman" w:hAnsi="Times New Roman" w:cs="Times New Roman"/>
            <w:sz w:val="24"/>
            <w:szCs w:val="24"/>
          </w:rPr>
          <w:tab/>
        </w:r>
        <w:r w:rsidR="00DE3EBA">
          <w:rPr>
            <w:rFonts w:ascii="Times New Roman" w:hAnsi="Times New Roman" w:cs="Times New Roman"/>
            <w:sz w:val="24"/>
            <w:szCs w:val="24"/>
          </w:rPr>
          <w:tab/>
        </w:r>
        <w:r w:rsidRPr="00FC5A8D" w:rsidR="00BD523F">
          <w:rPr>
            <w:rFonts w:ascii="Times New Roman" w:hAnsi="Times New Roman" w:cs="Times New Roman"/>
            <w:sz w:val="24"/>
            <w:szCs w:val="24"/>
          </w:rPr>
          <w:fldChar w:fldCharType="begin"/>
        </w:r>
        <w:r w:rsidRPr="00FC5A8D" w:rsidR="00DE3EBA">
          <w:rPr>
            <w:rFonts w:ascii="Times New Roman" w:hAnsi="Times New Roman" w:cs="Times New Roman"/>
            <w:sz w:val="24"/>
            <w:szCs w:val="24"/>
          </w:rPr>
          <w:instrText xml:space="preserve"> PAGE   \* MERGEFORMAT </w:instrText>
        </w:r>
        <w:r w:rsidRPr="00FC5A8D" w:rsidR="00BD523F">
          <w:rPr>
            <w:rFonts w:ascii="Times New Roman" w:hAnsi="Times New Roman" w:cs="Times New Roman"/>
            <w:sz w:val="24"/>
            <w:szCs w:val="24"/>
          </w:rPr>
          <w:fldChar w:fldCharType="separate"/>
        </w:r>
        <w:r w:rsidR="00334489">
          <w:rPr>
            <w:rFonts w:ascii="Times New Roman" w:hAnsi="Times New Roman" w:cs="Times New Roman"/>
            <w:noProof/>
            <w:sz w:val="24"/>
            <w:szCs w:val="24"/>
          </w:rPr>
          <w:t>2</w:t>
        </w:r>
        <w:r w:rsidRPr="00FC5A8D" w:rsidR="00BD523F">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343D6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Pr="00AA1DEB" w:rsidR="00AA1DEB">
      <w:rPr>
        <w:rFonts w:ascii="Times New Roman" w:hAnsi="Times New Roman" w:cs="Times New Roman"/>
        <w:iCs/>
        <w:sz w:val="24"/>
        <w:szCs w:val="24"/>
        <w:shd w:val="clear" w:color="auto" w:fill="FFFFFF"/>
      </w:rPr>
      <w:t>CHARACTERS </w:t>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AA1DEB">
      <w:rPr>
        <w:rFonts w:ascii="Times New Roman" w:hAnsi="Times New Roman" w:cs="Times New Roman"/>
        <w:iCs/>
        <w:sz w:val="24"/>
        <w:szCs w:val="24"/>
        <w:shd w:val="clear" w:color="auto" w:fill="FFFFFF"/>
      </w:rPr>
      <w:tab/>
    </w:r>
    <w:r w:rsidR="00343D68">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Pr="00FC5A8D" w:rsidR="00BD523F">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BD523F">
          <w:rPr>
            <w:rFonts w:ascii="Times New Roman" w:hAnsi="Times New Roman" w:cs="Times New Roman"/>
            <w:sz w:val="24"/>
            <w:szCs w:val="24"/>
          </w:rPr>
          <w:fldChar w:fldCharType="separate"/>
        </w:r>
        <w:r w:rsidR="00334489">
          <w:rPr>
            <w:rFonts w:ascii="Times New Roman" w:hAnsi="Times New Roman" w:cs="Times New Roman"/>
            <w:noProof/>
            <w:sz w:val="24"/>
            <w:szCs w:val="24"/>
          </w:rPr>
          <w:t>1</w:t>
        </w:r>
        <w:r w:rsidRPr="00FC5A8D" w:rsidR="00BD523F">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0248E"/>
    <w:rsid w:val="000445EF"/>
    <w:rsid w:val="000878D6"/>
    <w:rsid w:val="000F4E20"/>
    <w:rsid w:val="001A4325"/>
    <w:rsid w:val="001C5B88"/>
    <w:rsid w:val="001D7132"/>
    <w:rsid w:val="00263281"/>
    <w:rsid w:val="00295B21"/>
    <w:rsid w:val="00334489"/>
    <w:rsid w:val="00343D68"/>
    <w:rsid w:val="004A3920"/>
    <w:rsid w:val="00511D7D"/>
    <w:rsid w:val="005956D5"/>
    <w:rsid w:val="005A4EC0"/>
    <w:rsid w:val="005E007D"/>
    <w:rsid w:val="005E5A2E"/>
    <w:rsid w:val="0068732D"/>
    <w:rsid w:val="00710725"/>
    <w:rsid w:val="007151C1"/>
    <w:rsid w:val="00746C26"/>
    <w:rsid w:val="007962D1"/>
    <w:rsid w:val="007C3A46"/>
    <w:rsid w:val="00820E43"/>
    <w:rsid w:val="00834305"/>
    <w:rsid w:val="008570E2"/>
    <w:rsid w:val="008E4DDB"/>
    <w:rsid w:val="008F5E4E"/>
    <w:rsid w:val="00921CAD"/>
    <w:rsid w:val="009222A8"/>
    <w:rsid w:val="00944332"/>
    <w:rsid w:val="009714D3"/>
    <w:rsid w:val="00974DE8"/>
    <w:rsid w:val="009C380F"/>
    <w:rsid w:val="00A6686E"/>
    <w:rsid w:val="00A86AC3"/>
    <w:rsid w:val="00AA1DEB"/>
    <w:rsid w:val="00AC447A"/>
    <w:rsid w:val="00B468E6"/>
    <w:rsid w:val="00BD523F"/>
    <w:rsid w:val="00C47D75"/>
    <w:rsid w:val="00C50B8E"/>
    <w:rsid w:val="00CB305D"/>
    <w:rsid w:val="00CC3DB2"/>
    <w:rsid w:val="00D008F3"/>
    <w:rsid w:val="00DC7340"/>
    <w:rsid w:val="00DE3EBA"/>
    <w:rsid w:val="00E170E8"/>
    <w:rsid w:val="00E74E0D"/>
    <w:rsid w:val="00E836D6"/>
    <w:rsid w:val="00ED0C9D"/>
    <w:rsid w:val="00FB71B3"/>
    <w:rsid w:val="00FC5A8D"/>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unhideWhenUsed/>
    <w:rsid w:val="00343D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2019-04-27T10:17:00Z</dcterms:created>
  <dcterms:modified xsi:type="dcterms:W3CDTF">2019-04-27T10:29:00Z</dcterms:modified>
</cp:coreProperties>
</file>